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FD4374" w14:paraId="2263D445" w14:textId="77777777" w:rsidTr="00FD4374">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D4374" w14:paraId="2D767C48" w14:textId="77777777">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FD4374" w14:paraId="1449E26F" w14:textId="77777777">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D4374" w14:paraId="1EEABC1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D4374" w14:paraId="4CE7A2DF" w14:textId="77777777">
                                <w:tc>
                                  <w:tcPr>
                                    <w:tcW w:w="0" w:type="auto"/>
                                    <w:vAlign w:val="center"/>
                                    <w:hideMark/>
                                  </w:tcPr>
                                  <w:p w14:paraId="0BF83A77" w14:textId="1DE95EE6" w:rsidR="00FD4374" w:rsidRDefault="00FD4374">
                                    <w:pPr>
                                      <w:rPr>
                                        <w:rFonts w:ascii="Arial" w:eastAsia="Times New Roman" w:hAnsi="Arial" w:cs="Arial"/>
                                        <w:sz w:val="24"/>
                                        <w:szCs w:val="24"/>
                                      </w:rPr>
                                    </w:pPr>
                                    <w:bookmarkStart w:id="0" w:name="_GoBack" w:colFirst="1" w:colLast="1"/>
                                    <w:r>
                                      <w:rPr>
                                        <w:rFonts w:ascii="Arial" w:eastAsia="Times New Roman" w:hAnsi="Arial" w:cs="Arial"/>
                                        <w:noProof/>
                                        <w:sz w:val="24"/>
                                        <w:szCs w:val="24"/>
                                      </w:rPr>
                                      <w:drawing>
                                        <wp:inline distT="0" distB="0" distL="0" distR="0" wp14:anchorId="5DCEACD4" wp14:editId="2D5B2D66">
                                          <wp:extent cx="57150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14:paraId="6D603554" w14:textId="77777777" w:rsidR="00FD4374" w:rsidRDefault="00FD4374">
                              <w:pPr>
                                <w:rPr>
                                  <w:rFonts w:ascii="Times New Roman" w:eastAsia="Times New Roman" w:hAnsi="Times New Roman" w:cs="Times New Roman"/>
                                  <w:color w:val="auto"/>
                                  <w:sz w:val="20"/>
                                  <w:szCs w:val="20"/>
                                </w:rPr>
                              </w:pPr>
                            </w:p>
                          </w:tc>
                        </w:tr>
                      </w:tbl>
                      <w:p w14:paraId="2E3DCF63" w14:textId="77777777" w:rsidR="00FD4374" w:rsidRDefault="00FD4374">
                        <w:pPr>
                          <w:jc w:val="center"/>
                          <w:rPr>
                            <w:rFonts w:ascii="Times New Roman" w:eastAsia="Times New Roman" w:hAnsi="Times New Roman" w:cs="Times New Roman"/>
                            <w:color w:val="auto"/>
                            <w:sz w:val="20"/>
                            <w:szCs w:val="20"/>
                          </w:rPr>
                        </w:pPr>
                      </w:p>
                    </w:tc>
                  </w:tr>
                  <w:tr w:rsidR="00FD4374" w14:paraId="77B326BC"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D4374" w14:paraId="6689A0E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D4374" w14:paraId="62B9E767"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3000"/>
                                      <w:gridCol w:w="6000"/>
                                    </w:tblGrid>
                                    <w:tr w:rsidR="00FD4374" w14:paraId="1B3BCD9F" w14:textId="77777777">
                                      <w:trPr>
                                        <w:jc w:val="center"/>
                                      </w:trPr>
                                      <w:tc>
                                        <w:tcPr>
                                          <w:tcW w:w="3000" w:type="dxa"/>
                                          <w:hideMark/>
                                        </w:tcPr>
                                        <w:tbl>
                                          <w:tblPr>
                                            <w:tblW w:w="3000" w:type="dxa"/>
                                            <w:jc w:val="center"/>
                                            <w:tblCellMar>
                                              <w:left w:w="0" w:type="dxa"/>
                                              <w:right w:w="0" w:type="dxa"/>
                                            </w:tblCellMar>
                                            <w:tblLook w:val="04A0" w:firstRow="1" w:lastRow="0" w:firstColumn="1" w:lastColumn="0" w:noHBand="0" w:noVBand="1"/>
                                          </w:tblPr>
                                          <w:tblGrid>
                                            <w:gridCol w:w="3000"/>
                                          </w:tblGrid>
                                          <w:tr w:rsidR="00FD4374" w14:paraId="669BA529" w14:textId="77777777">
                                            <w:trPr>
                                              <w:jc w:val="center"/>
                                            </w:trPr>
                                            <w:tc>
                                              <w:tcPr>
                                                <w:tcW w:w="0" w:type="auto"/>
                                                <w:vAlign w:val="center"/>
                                                <w:hideMark/>
                                              </w:tcPr>
                                              <w:p w14:paraId="71806B27" w14:textId="77777777" w:rsidR="00FD4374" w:rsidRDefault="00FD4374">
                                                <w:pPr>
                                                  <w:rPr>
                                                    <w:rFonts w:ascii="Times New Roman" w:eastAsia="Times New Roman" w:hAnsi="Times New Roman" w:cs="Times New Roman"/>
                                                    <w:color w:val="auto"/>
                                                    <w:sz w:val="20"/>
                                                    <w:szCs w:val="20"/>
                                                  </w:rPr>
                                                </w:pPr>
                                              </w:p>
                                            </w:tc>
                                          </w:tr>
                                        </w:tbl>
                                        <w:p w14:paraId="7C1C089B" w14:textId="77777777" w:rsidR="00FD4374" w:rsidRDefault="00FD4374">
                                          <w:pPr>
                                            <w:jc w:val="center"/>
                                            <w:rPr>
                                              <w:rFonts w:ascii="Times New Roman" w:eastAsia="Times New Roman" w:hAnsi="Times New Roman" w:cs="Times New Roman"/>
                                              <w:color w:val="auto"/>
                                              <w:sz w:val="20"/>
                                              <w:szCs w:val="20"/>
                                            </w:rPr>
                                          </w:pPr>
                                        </w:p>
                                      </w:tc>
                                      <w:tc>
                                        <w:tcPr>
                                          <w:tcW w:w="6000" w:type="dxa"/>
                                          <w:hideMark/>
                                        </w:tcPr>
                                        <w:tbl>
                                          <w:tblPr>
                                            <w:tblW w:w="6000" w:type="dxa"/>
                                            <w:jc w:val="center"/>
                                            <w:tblCellMar>
                                              <w:left w:w="0" w:type="dxa"/>
                                              <w:right w:w="0" w:type="dxa"/>
                                            </w:tblCellMar>
                                            <w:tblLook w:val="04A0" w:firstRow="1" w:lastRow="0" w:firstColumn="1" w:lastColumn="0" w:noHBand="0" w:noVBand="1"/>
                                          </w:tblPr>
                                          <w:tblGrid>
                                            <w:gridCol w:w="6000"/>
                                          </w:tblGrid>
                                          <w:tr w:rsidR="00FD4374" w14:paraId="7456E755" w14:textId="77777777">
                                            <w:trPr>
                                              <w:jc w:val="center"/>
                                            </w:trPr>
                                            <w:tc>
                                              <w:tcPr>
                                                <w:tcW w:w="0" w:type="auto"/>
                                                <w:hideMark/>
                                              </w:tcPr>
                                              <w:p w14:paraId="5A832608" w14:textId="77777777" w:rsidR="00FD4374" w:rsidRDefault="00FD4374">
                                                <w:pPr>
                                                  <w:rPr>
                                                    <w:rFonts w:ascii="Times New Roman" w:eastAsia="Times New Roman" w:hAnsi="Times New Roman" w:cs="Times New Roman"/>
                                                    <w:color w:val="auto"/>
                                                    <w:sz w:val="20"/>
                                                    <w:szCs w:val="20"/>
                                                  </w:rPr>
                                                </w:pPr>
                                              </w:p>
                                            </w:tc>
                                          </w:tr>
                                        </w:tbl>
                                        <w:p w14:paraId="44F58D55" w14:textId="77777777" w:rsidR="00FD4374" w:rsidRDefault="00FD4374">
                                          <w:pPr>
                                            <w:jc w:val="center"/>
                                            <w:rPr>
                                              <w:rFonts w:ascii="Times New Roman" w:eastAsia="Times New Roman" w:hAnsi="Times New Roman" w:cs="Times New Roman"/>
                                              <w:color w:val="auto"/>
                                              <w:sz w:val="20"/>
                                              <w:szCs w:val="20"/>
                                            </w:rPr>
                                          </w:pPr>
                                        </w:p>
                                      </w:tc>
                                    </w:tr>
                                  </w:tbl>
                                  <w:p w14:paraId="604C1B23" w14:textId="77777777" w:rsidR="00FD4374" w:rsidRDefault="00FD4374">
                                    <w:pPr>
                                      <w:jc w:val="center"/>
                                      <w:rPr>
                                        <w:rFonts w:ascii="Times New Roman" w:eastAsia="Times New Roman" w:hAnsi="Times New Roman" w:cs="Times New Roman"/>
                                        <w:color w:val="auto"/>
                                        <w:sz w:val="20"/>
                                        <w:szCs w:val="20"/>
                                      </w:rPr>
                                    </w:pPr>
                                  </w:p>
                                </w:tc>
                              </w:tr>
                              <w:tr w:rsidR="00FD4374" w14:paraId="3E82CD39" w14:textId="77777777">
                                <w:tc>
                                  <w:tcPr>
                                    <w:tcW w:w="0" w:type="auto"/>
                                    <w:vAlign w:val="center"/>
                                    <w:hideMark/>
                                  </w:tcPr>
                                  <w:tbl>
                                    <w:tblPr>
                                      <w:tblW w:w="5000" w:type="pct"/>
                                      <w:tblBorders>
                                        <w:top w:val="single" w:sz="6" w:space="0" w:color="C9C9C9"/>
                                        <w:left w:val="single" w:sz="6" w:space="0" w:color="C9C9C9"/>
                                        <w:bottom w:val="single" w:sz="6" w:space="0" w:color="C9C9C9"/>
                                        <w:right w:val="single" w:sz="6" w:space="0" w:color="C9C9C9"/>
                                      </w:tblBorders>
                                      <w:tblCellMar>
                                        <w:left w:w="0" w:type="dxa"/>
                                        <w:right w:w="0" w:type="dxa"/>
                                      </w:tblCellMar>
                                      <w:tblLook w:val="04A0" w:firstRow="1" w:lastRow="0" w:firstColumn="1" w:lastColumn="0" w:noHBand="0" w:noVBand="1"/>
                                    </w:tblPr>
                                    <w:tblGrid>
                                      <w:gridCol w:w="8984"/>
                                    </w:tblGrid>
                                    <w:tr w:rsidR="00FD4374" w14:paraId="68B831A2" w14:textId="77777777">
                                      <w:tc>
                                        <w:tcPr>
                                          <w:tcW w:w="0" w:type="auto"/>
                                          <w:tcBorders>
                                            <w:top w:val="single" w:sz="6" w:space="0" w:color="C9C9C9"/>
                                            <w:left w:val="single" w:sz="6" w:space="0" w:color="C9C9C9"/>
                                            <w:bottom w:val="single" w:sz="6" w:space="0" w:color="C9C9C9"/>
                                            <w:right w:val="single" w:sz="6" w:space="0" w:color="C9C9C9"/>
                                          </w:tcBorders>
                                          <w:tcMar>
                                            <w:top w:w="75" w:type="dxa"/>
                                            <w:left w:w="75" w:type="dxa"/>
                                            <w:bottom w:w="75" w:type="dxa"/>
                                            <w:right w:w="75" w:type="dxa"/>
                                          </w:tcMar>
                                          <w:vAlign w:val="center"/>
                                          <w:hideMark/>
                                        </w:tcPr>
                                        <w:p w14:paraId="10EF4485" w14:textId="77777777" w:rsidR="00FD4374" w:rsidRDefault="00FD4374">
                                          <w:pPr>
                                            <w:rPr>
                                              <w:rFonts w:ascii="Arial" w:eastAsia="Times New Roman" w:hAnsi="Arial" w:cs="Arial"/>
                                              <w:sz w:val="24"/>
                                              <w:szCs w:val="24"/>
                                            </w:rPr>
                                          </w:pPr>
                                          <w:r>
                                            <w:rPr>
                                              <w:rFonts w:ascii="Arial" w:eastAsia="Times New Roman" w:hAnsi="Arial" w:cs="Arial"/>
                                              <w:b/>
                                              <w:bCs/>
                                              <w:color w:val="00A4E4"/>
                                              <w:sz w:val="18"/>
                                              <w:szCs w:val="18"/>
                                            </w:rPr>
                                            <w:t>DIRECT ACCESS TO SPENDING ACCOUNTS</w:t>
                                          </w:r>
                                          <w:r>
                                            <w:rPr>
                                              <w:rFonts w:ascii="Arial" w:eastAsia="Times New Roman" w:hAnsi="Arial" w:cs="Arial"/>
                                              <w:sz w:val="24"/>
                                              <w:szCs w:val="24"/>
                                            </w:rPr>
                                            <w:t xml:space="preserve"> </w:t>
                                          </w:r>
                                        </w:p>
                                        <w:p w14:paraId="46245D96" w14:textId="77777777" w:rsidR="00FD4374" w:rsidRDefault="00FD4374">
                                          <w:pPr>
                                            <w:jc w:val="center"/>
                                            <w:rPr>
                                              <w:rFonts w:ascii="Arial" w:eastAsia="Times New Roman" w:hAnsi="Arial" w:cs="Arial"/>
                                              <w:sz w:val="24"/>
                                              <w:szCs w:val="24"/>
                                            </w:rPr>
                                          </w:pPr>
                                          <w:r>
                                            <w:rPr>
                                              <w:rFonts w:ascii="Arial" w:eastAsia="Times New Roman" w:hAnsi="Arial" w:cs="Arial"/>
                                              <w:sz w:val="24"/>
                                              <w:szCs w:val="24"/>
                                            </w:rPr>
                                            <w:pict w14:anchorId="5CC935D4">
                                              <v:rect id="_x0000_i1028" style="width:468pt;height:1pt" o:hralign="center" o:hrstd="t" o:hr="t" fillcolor="#a0a0a0" stroked="f"/>
                                            </w:pict>
                                          </w:r>
                                        </w:p>
                                        <w:p w14:paraId="7C2710F7" w14:textId="77777777" w:rsidR="00FD4374" w:rsidRDefault="00FD4374">
                                          <w:pPr>
                                            <w:rPr>
                                              <w:rFonts w:ascii="Arial" w:eastAsia="Times New Roman" w:hAnsi="Arial" w:cs="Arial"/>
                                              <w:sz w:val="24"/>
                                              <w:szCs w:val="24"/>
                                            </w:rPr>
                                          </w:pPr>
                                          <w:r>
                                            <w:rPr>
                                              <w:rFonts w:ascii="Arial" w:eastAsia="Times New Roman" w:hAnsi="Arial" w:cs="Arial"/>
                                              <w:b/>
                                              <w:bCs/>
                                              <w:i/>
                                              <w:iCs/>
                                              <w:sz w:val="18"/>
                                              <w:szCs w:val="18"/>
                                            </w:rPr>
                                            <w:t xml:space="preserve">This email is intended for producers in western Pennsylvania, central Pennsylvania, northeastern </w:t>
                                          </w:r>
                                          <w:proofErr w:type="spellStart"/>
                                          <w:r>
                                            <w:rPr>
                                              <w:rFonts w:ascii="Arial" w:eastAsia="Times New Roman" w:hAnsi="Arial" w:cs="Arial"/>
                                              <w:b/>
                                              <w:bCs/>
                                              <w:i/>
                                              <w:iCs/>
                                              <w:sz w:val="18"/>
                                              <w:szCs w:val="18"/>
                                            </w:rPr>
                                            <w:t>Pennsylania</w:t>
                                          </w:r>
                                          <w:proofErr w:type="spellEnd"/>
                                          <w:r>
                                            <w:rPr>
                                              <w:rFonts w:ascii="Arial" w:eastAsia="Times New Roman" w:hAnsi="Arial" w:cs="Arial"/>
                                              <w:b/>
                                              <w:bCs/>
                                              <w:i/>
                                              <w:iCs/>
                                              <w:sz w:val="18"/>
                                              <w:szCs w:val="18"/>
                                            </w:rPr>
                                            <w:t>.</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18"/>
                                              <w:szCs w:val="18"/>
                                            </w:rPr>
                                            <w:t xml:space="preserve">You asked…we listened!  You will now have direct access to our Spending Account team for </w:t>
                                          </w:r>
                                          <w:proofErr w:type="gramStart"/>
                                          <w:r>
                                            <w:rPr>
                                              <w:rFonts w:ascii="Arial" w:eastAsia="Times New Roman" w:hAnsi="Arial" w:cs="Arial"/>
                                              <w:sz w:val="18"/>
                                              <w:szCs w:val="18"/>
                                            </w:rPr>
                                            <w:t>all of</w:t>
                                          </w:r>
                                          <w:proofErr w:type="gramEnd"/>
                                          <w:r>
                                            <w:rPr>
                                              <w:rFonts w:ascii="Arial" w:eastAsia="Times New Roman" w:hAnsi="Arial" w:cs="Arial"/>
                                              <w:sz w:val="18"/>
                                              <w:szCs w:val="18"/>
                                            </w:rPr>
                                            <w:t xml:space="preserve"> your clients.  Until now, escalated Spending Account issues were funneled through our Client Management Teams.  Effective immediately, you and your clients will have direct access to our Spending Account Team.</w:t>
                                          </w:r>
                                          <w:r>
                                            <w:rPr>
                                              <w:rFonts w:ascii="Arial" w:eastAsia="Times New Roman" w:hAnsi="Arial" w:cs="Arial"/>
                                              <w:sz w:val="18"/>
                                              <w:szCs w:val="18"/>
                                            </w:rPr>
                                            <w:br/>
                                          </w:r>
                                          <w:r>
                                            <w:rPr>
                                              <w:rFonts w:ascii="Arial" w:eastAsia="Times New Roman" w:hAnsi="Arial" w:cs="Arial"/>
                                              <w:sz w:val="18"/>
                                              <w:szCs w:val="18"/>
                                            </w:rPr>
                                            <w:br/>
                                            <w:t xml:space="preserve">Any Spending Account issues previously sent through your Client Management Team by you or your clients (Small Group and Large Group) can now be sent directly to </w:t>
                                          </w:r>
                                          <w:hyperlink r:id="rId6" w:tooltip="SATriage@highmark.com" w:history="1">
                                            <w:r>
                                              <w:rPr>
                                                <w:rStyle w:val="Hyperlink"/>
                                                <w:rFonts w:ascii="Arial" w:eastAsia="Times New Roman" w:hAnsi="Arial" w:cs="Arial"/>
                                                <w:color w:val="107FEE"/>
                                                <w:sz w:val="18"/>
                                                <w:szCs w:val="18"/>
                                              </w:rPr>
                                              <w:t>SATriage@highmark.com</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Members should always utilize the Member Service number on the back of their ID card as they do currently.</w:t>
                                          </w:r>
                                          <w:r>
                                            <w:rPr>
                                              <w:rFonts w:ascii="Arial" w:eastAsia="Times New Roman" w:hAnsi="Arial" w:cs="Arial"/>
                                              <w:sz w:val="18"/>
                                              <w:szCs w:val="18"/>
                                            </w:rPr>
                                            <w:br/>
                                          </w:r>
                                          <w:r>
                                            <w:rPr>
                                              <w:rFonts w:ascii="Arial" w:eastAsia="Times New Roman" w:hAnsi="Arial" w:cs="Arial"/>
                                              <w:sz w:val="18"/>
                                              <w:szCs w:val="18"/>
                                            </w:rPr>
                                            <w:br/>
                                            <w:t xml:space="preserve">The new Spending Account contact, </w:t>
                                          </w:r>
                                          <w:hyperlink r:id="rId7" w:tooltip="SATriage@highmark.com" w:history="1">
                                            <w:r>
                                              <w:rPr>
                                                <w:rStyle w:val="Hyperlink"/>
                                                <w:rFonts w:ascii="Arial" w:eastAsia="Times New Roman" w:hAnsi="Arial" w:cs="Arial"/>
                                                <w:color w:val="107FEE"/>
                                                <w:sz w:val="18"/>
                                                <w:szCs w:val="18"/>
                                              </w:rPr>
                                              <w:t>SATriage@highmark.com</w:t>
                                            </w:r>
                                          </w:hyperlink>
                                          <w:r>
                                            <w:rPr>
                                              <w:rFonts w:ascii="Arial" w:eastAsia="Times New Roman" w:hAnsi="Arial" w:cs="Arial"/>
                                              <w:sz w:val="18"/>
                                              <w:szCs w:val="18"/>
                                            </w:rPr>
                                            <w:t>, is an extension of the existing contacts already in use and listed below:   </w:t>
                                          </w:r>
                                          <w:r>
                                            <w:rPr>
                                              <w:rFonts w:ascii="Arial" w:eastAsia="Times New Roman" w:hAnsi="Arial" w:cs="Arial"/>
                                              <w:sz w:val="24"/>
                                              <w:szCs w:val="24"/>
                                            </w:rPr>
                                            <w:t xml:space="preserve"> </w:t>
                                          </w:r>
                                        </w:p>
                                        <w:p w14:paraId="01C2CCE5" w14:textId="77777777" w:rsidR="00FD4374" w:rsidRDefault="00FD4374" w:rsidP="00B63700">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18"/>
                                              <w:szCs w:val="18"/>
                                            </w:rPr>
                                            <w:t>Questions specifically related to HSA: </w:t>
                                          </w:r>
                                          <w:hyperlink r:id="rId8" w:tooltip="ContributionsHSAClientService@highmark.com" w:history="1">
                                            <w:r>
                                              <w:rPr>
                                                <w:rStyle w:val="Hyperlink"/>
                                                <w:rFonts w:ascii="Arial" w:eastAsia="Times New Roman" w:hAnsi="Arial" w:cs="Arial"/>
                                                <w:color w:val="107FEE"/>
                                                <w:sz w:val="18"/>
                                                <w:szCs w:val="18"/>
                                              </w:rPr>
                                              <w:t>ContributionsHSAClientService@highmark.com</w:t>
                                            </w:r>
                                          </w:hyperlink>
                                        </w:p>
                                        <w:p w14:paraId="293B15BB" w14:textId="77777777" w:rsidR="00FD4374" w:rsidRDefault="00FD4374" w:rsidP="00B63700">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18"/>
                                              <w:szCs w:val="18"/>
                                            </w:rPr>
                                            <w:t>FSA Enrollment Forms/Spreadsheet: </w:t>
                                          </w:r>
                                          <w:hyperlink r:id="rId9" w:tooltip="Spending_Account_Status@highmark.com" w:history="1">
                                            <w:r>
                                              <w:rPr>
                                                <w:rStyle w:val="Hyperlink"/>
                                                <w:rFonts w:ascii="Arial" w:eastAsia="Times New Roman" w:hAnsi="Arial" w:cs="Arial"/>
                                                <w:color w:val="107FEE"/>
                                                <w:sz w:val="18"/>
                                                <w:szCs w:val="18"/>
                                              </w:rPr>
                                              <w:t>Spending_Account_Status@highmark.com</w:t>
                                            </w:r>
                                          </w:hyperlink>
                                        </w:p>
                                        <w:p w14:paraId="5ABD64AD" w14:textId="77777777" w:rsidR="00FD4374" w:rsidRDefault="00FD4374" w:rsidP="00B63700">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18"/>
                                              <w:szCs w:val="18"/>
                                            </w:rPr>
                                            <w:t>Questions related to your FSA and/or HRA Invoice: </w:t>
                                          </w:r>
                                          <w:hyperlink r:id="rId10" w:tooltip="SAPInvoice@highmark.com" w:history="1">
                                            <w:r>
                                              <w:rPr>
                                                <w:rStyle w:val="Hyperlink"/>
                                                <w:rFonts w:ascii="Arial" w:eastAsia="Times New Roman" w:hAnsi="Arial" w:cs="Arial"/>
                                                <w:color w:val="107FEE"/>
                                                <w:sz w:val="18"/>
                                                <w:szCs w:val="18"/>
                                              </w:rPr>
                                              <w:t>SAPInvoice@highmark.com</w:t>
                                            </w:r>
                                          </w:hyperlink>
                                        </w:p>
                                        <w:p w14:paraId="2ECC251A" w14:textId="77777777" w:rsidR="00FD4374" w:rsidRDefault="00FD4374">
                                          <w:pPr>
                                            <w:rPr>
                                              <w:rFonts w:ascii="Arial" w:eastAsia="Times New Roman" w:hAnsi="Arial" w:cs="Arial"/>
                                              <w:sz w:val="24"/>
                                              <w:szCs w:val="24"/>
                                            </w:rPr>
                                          </w:pPr>
                                          <w:r>
                                            <w:rPr>
                                              <w:rFonts w:ascii="Arial" w:eastAsia="Times New Roman" w:hAnsi="Arial" w:cs="Arial"/>
                                              <w:sz w:val="18"/>
                                              <w:szCs w:val="18"/>
                                            </w:rPr>
                                            <w:t>For any non-Spending Account related issues, please continue to utilize the same processes you do today.</w:t>
                                          </w:r>
                                          <w:r>
                                            <w:rPr>
                                              <w:rFonts w:ascii="Arial" w:eastAsia="Times New Roman" w:hAnsi="Arial" w:cs="Arial"/>
                                              <w:sz w:val="18"/>
                                              <w:szCs w:val="18"/>
                                            </w:rPr>
                                            <w:br/>
                                          </w:r>
                                          <w:r>
                                            <w:rPr>
                                              <w:rFonts w:ascii="Arial" w:eastAsia="Times New Roman" w:hAnsi="Arial" w:cs="Arial"/>
                                              <w:sz w:val="18"/>
                                              <w:szCs w:val="18"/>
                                            </w:rPr>
                                            <w:br/>
                                            <w:t>Thank you for your continued partnership. </w:t>
                                          </w:r>
                                        </w:p>
                                      </w:tc>
                                    </w:tr>
                                  </w:tbl>
                                  <w:p w14:paraId="7D54EFDC" w14:textId="77777777" w:rsidR="00FD4374" w:rsidRDefault="00FD4374">
                                    <w:pPr>
                                      <w:rPr>
                                        <w:rFonts w:ascii="Times New Roman" w:eastAsia="Times New Roman" w:hAnsi="Times New Roman" w:cs="Times New Roman"/>
                                        <w:color w:val="auto"/>
                                        <w:sz w:val="20"/>
                                        <w:szCs w:val="20"/>
                                      </w:rPr>
                                    </w:pPr>
                                  </w:p>
                                </w:tc>
                              </w:tr>
                              <w:tr w:rsidR="00FD4374" w14:paraId="37131DCF" w14:textId="77777777">
                                <w:tc>
                                  <w:tcPr>
                                    <w:tcW w:w="0" w:type="auto"/>
                                    <w:vAlign w:val="center"/>
                                    <w:hideMark/>
                                  </w:tcPr>
                                  <w:p w14:paraId="3B07D8C0" w14:textId="77777777" w:rsidR="00FD4374" w:rsidRDefault="00FD4374">
                                    <w:pPr>
                                      <w:rPr>
                                        <w:rFonts w:ascii="Times New Roman" w:eastAsia="Times New Roman" w:hAnsi="Times New Roman" w:cs="Times New Roman"/>
                                        <w:color w:val="auto"/>
                                        <w:sz w:val="20"/>
                                        <w:szCs w:val="20"/>
                                      </w:rPr>
                                    </w:pPr>
                                  </w:p>
                                </w:tc>
                              </w:tr>
                              <w:tr w:rsidR="00FD4374" w14:paraId="7B519C9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D4374" w14:paraId="51EE25A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D4374" w14:paraId="79B9E25B" w14:textId="77777777">
                                            <w:tc>
                                              <w:tcPr>
                                                <w:tcW w:w="0" w:type="auto"/>
                                                <w:vAlign w:val="center"/>
                                                <w:hideMark/>
                                              </w:tcPr>
                                              <w:p w14:paraId="736B62CA" w14:textId="5C79F43A" w:rsidR="00FD4374" w:rsidRDefault="00FD4374">
                                                <w:pPr>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2E22E6AD" wp14:editId="113C9702">
                                                      <wp:extent cx="57150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52450"/>
                                                              </a:xfrm>
                                                              <a:prstGeom prst="rect">
                                                                <a:avLst/>
                                                              </a:prstGeom>
                                                              <a:noFill/>
                                                              <a:ln>
                                                                <a:noFill/>
                                                              </a:ln>
                                                            </pic:spPr>
                                                          </pic:pic>
                                                        </a:graphicData>
                                                      </a:graphic>
                                                    </wp:inline>
                                                  </w:drawing>
                                                </w:r>
                                              </w:p>
                                            </w:tc>
                                          </w:tr>
                                        </w:tbl>
                                        <w:p w14:paraId="6B2DAA60" w14:textId="77777777" w:rsidR="00FD4374" w:rsidRDefault="00FD4374">
                                          <w:pPr>
                                            <w:rPr>
                                              <w:rFonts w:ascii="Times New Roman" w:eastAsia="Times New Roman" w:hAnsi="Times New Roman" w:cs="Times New Roman"/>
                                              <w:color w:val="auto"/>
                                              <w:sz w:val="20"/>
                                              <w:szCs w:val="20"/>
                                            </w:rPr>
                                          </w:pPr>
                                        </w:p>
                                      </w:tc>
                                    </w:tr>
                                  </w:tbl>
                                  <w:p w14:paraId="382840FB" w14:textId="77777777" w:rsidR="00FD4374" w:rsidRDefault="00FD4374">
                                    <w:pPr>
                                      <w:rPr>
                                        <w:rFonts w:ascii="Times New Roman" w:eastAsia="Times New Roman" w:hAnsi="Times New Roman" w:cs="Times New Roman"/>
                                        <w:color w:val="auto"/>
                                        <w:sz w:val="20"/>
                                        <w:szCs w:val="20"/>
                                      </w:rPr>
                                    </w:pPr>
                                  </w:p>
                                </w:tc>
                              </w:tr>
                              <w:tr w:rsidR="00FD4374" w14:paraId="6CEB953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D4374" w14:paraId="197EAB42" w14:textId="77777777">
                                      <w:tc>
                                        <w:tcPr>
                                          <w:tcW w:w="0" w:type="auto"/>
                                          <w:vAlign w:val="center"/>
                                          <w:hideMark/>
                                        </w:tcPr>
                                        <w:p w14:paraId="04F08082" w14:textId="77777777" w:rsidR="00FD4374" w:rsidRDefault="00FD4374">
                                          <w:pPr>
                                            <w:rPr>
                                              <w:rFonts w:ascii="Arial" w:eastAsia="Times New Roman" w:hAnsi="Arial" w:cs="Arial"/>
                                              <w:sz w:val="24"/>
                                              <w:szCs w:val="24"/>
                                            </w:rPr>
                                          </w:pPr>
                                          <w:r>
                                            <w:rPr>
                                              <w:rFonts w:ascii="Arial" w:eastAsia="Times New Roman" w:hAnsi="Arial" w:cs="Arial"/>
                                              <w:i/>
                                              <w:iCs/>
                                              <w:sz w:val="14"/>
                                              <w:szCs w:val="14"/>
                                            </w:rPr>
                                            <w:t>Highmark Inc. is an independent licensee of the Blue Cross Blue Shield Association.  Insurance or benefit administration may be provided by or through Highmark Inc. or one of its affiliated Blue companies. Highmark Inc. d/b/a Highmark Blue Shield and certain of its affiliated Blue companies serve Blue Shield members in the 21 counties of central Pennsylvania. As a partner in joint operating agreements, Highmark Blue Shield also provides services in conjunction with a separate health plan in southeastern Pennsylvania.  Highmark Inc. or certain of its affiliated Blue companies serve Blue Cross Blue Shield members in the 29 counties of western Pennsylvania, 13 counties in northeast Pennsylvania, the state of West Virginia plus Washington County, Ohio, and the entire state of Delaware. </w:t>
                                          </w:r>
                                          <w:r>
                                            <w:rPr>
                                              <w:rFonts w:ascii="Arial" w:eastAsia="Times New Roman" w:hAnsi="Arial" w:cs="Arial"/>
                                              <w:sz w:val="24"/>
                                              <w:szCs w:val="24"/>
                                            </w:rPr>
                                            <w:br/>
                                            <w:t> </w:t>
                                          </w:r>
                                        </w:p>
                                      </w:tc>
                                    </w:tr>
                                  </w:tbl>
                                  <w:p w14:paraId="2B7CC703" w14:textId="77777777" w:rsidR="00FD4374" w:rsidRDefault="00FD4374">
                                    <w:pPr>
                                      <w:rPr>
                                        <w:rFonts w:ascii="Times New Roman" w:eastAsia="Times New Roman" w:hAnsi="Times New Roman" w:cs="Times New Roman"/>
                                        <w:color w:val="auto"/>
                                        <w:sz w:val="20"/>
                                        <w:szCs w:val="20"/>
                                      </w:rPr>
                                    </w:pPr>
                                  </w:p>
                                </w:tc>
                              </w:tr>
                              <w:tr w:rsidR="00FD4374" w14:paraId="48A4A8D4" w14:textId="77777777">
                                <w:tc>
                                  <w:tcPr>
                                    <w:tcW w:w="0" w:type="auto"/>
                                    <w:vAlign w:val="center"/>
                                    <w:hideMark/>
                                  </w:tcPr>
                                  <w:p w14:paraId="24C8DBCA" w14:textId="77777777" w:rsidR="00FD4374" w:rsidRDefault="00FD4374">
                                    <w:pPr>
                                      <w:rPr>
                                        <w:rFonts w:ascii="Times New Roman" w:eastAsia="Times New Roman" w:hAnsi="Times New Roman" w:cs="Times New Roman"/>
                                        <w:color w:val="auto"/>
                                        <w:sz w:val="20"/>
                                        <w:szCs w:val="20"/>
                                      </w:rPr>
                                    </w:pPr>
                                  </w:p>
                                </w:tc>
                              </w:tr>
                              <w:tr w:rsidR="00FD4374" w14:paraId="097AA481" w14:textId="77777777">
                                <w:tc>
                                  <w:tcPr>
                                    <w:tcW w:w="0" w:type="auto"/>
                                    <w:vAlign w:val="center"/>
                                    <w:hideMark/>
                                  </w:tcPr>
                                  <w:p w14:paraId="6FED9BB0" w14:textId="77777777" w:rsidR="00FD4374" w:rsidRDefault="00FD4374">
                                    <w:pPr>
                                      <w:rPr>
                                        <w:rFonts w:ascii="Times New Roman" w:eastAsia="Times New Roman" w:hAnsi="Times New Roman" w:cs="Times New Roman"/>
                                        <w:color w:val="auto"/>
                                        <w:sz w:val="20"/>
                                        <w:szCs w:val="20"/>
                                      </w:rPr>
                                    </w:pPr>
                                  </w:p>
                                </w:tc>
                              </w:tr>
                              <w:tr w:rsidR="00FD4374" w14:paraId="0F45C78A" w14:textId="77777777">
                                <w:tc>
                                  <w:tcPr>
                                    <w:tcW w:w="0" w:type="auto"/>
                                    <w:vAlign w:val="center"/>
                                    <w:hideMark/>
                                  </w:tcPr>
                                  <w:p w14:paraId="41059C30" w14:textId="77777777" w:rsidR="00FD4374" w:rsidRDefault="00FD4374">
                                    <w:pPr>
                                      <w:rPr>
                                        <w:rFonts w:ascii="Times New Roman" w:eastAsia="Times New Roman" w:hAnsi="Times New Roman" w:cs="Times New Roman"/>
                                        <w:color w:val="auto"/>
                                        <w:sz w:val="20"/>
                                        <w:szCs w:val="20"/>
                                      </w:rPr>
                                    </w:pPr>
                                  </w:p>
                                </w:tc>
                              </w:tr>
                            </w:tbl>
                            <w:p w14:paraId="0304B468" w14:textId="77777777" w:rsidR="00FD4374" w:rsidRDefault="00FD4374">
                              <w:pPr>
                                <w:rPr>
                                  <w:rFonts w:ascii="Times New Roman" w:eastAsia="Times New Roman" w:hAnsi="Times New Roman" w:cs="Times New Roman"/>
                                  <w:color w:val="auto"/>
                                  <w:sz w:val="20"/>
                                  <w:szCs w:val="20"/>
                                </w:rPr>
                              </w:pPr>
                            </w:p>
                          </w:tc>
                        </w:tr>
                      </w:tbl>
                      <w:p w14:paraId="48EE43FD" w14:textId="77777777" w:rsidR="00FD4374" w:rsidRDefault="00FD4374">
                        <w:pPr>
                          <w:rPr>
                            <w:rFonts w:ascii="Times New Roman" w:eastAsia="Times New Roman" w:hAnsi="Times New Roman" w:cs="Times New Roman"/>
                            <w:color w:val="auto"/>
                            <w:sz w:val="20"/>
                            <w:szCs w:val="20"/>
                          </w:rPr>
                        </w:pPr>
                      </w:p>
                    </w:tc>
                  </w:tr>
                </w:tbl>
                <w:p w14:paraId="2EE1F4BB" w14:textId="77777777" w:rsidR="00FD4374" w:rsidRDefault="00FD4374">
                  <w:pPr>
                    <w:rPr>
                      <w:rFonts w:ascii="Times New Roman" w:eastAsia="Times New Roman" w:hAnsi="Times New Roman" w:cs="Times New Roman"/>
                      <w:color w:val="auto"/>
                      <w:sz w:val="20"/>
                      <w:szCs w:val="20"/>
                    </w:rPr>
                  </w:pPr>
                </w:p>
              </w:tc>
            </w:tr>
          </w:tbl>
          <w:p w14:paraId="358AA189" w14:textId="77777777" w:rsidR="00FD4374" w:rsidRDefault="00FD4374">
            <w:pPr>
              <w:jc w:val="center"/>
              <w:rPr>
                <w:rFonts w:ascii="Times New Roman" w:eastAsia="Times New Roman" w:hAnsi="Times New Roman" w:cs="Times New Roman"/>
                <w:color w:val="auto"/>
                <w:sz w:val="20"/>
                <w:szCs w:val="20"/>
              </w:rPr>
            </w:pPr>
          </w:p>
        </w:tc>
      </w:tr>
      <w:bookmarkEnd w:id="0"/>
    </w:tbl>
    <w:p w14:paraId="0A250BBF" w14:textId="1CEA63EA" w:rsidR="005C27E3" w:rsidRDefault="00FD4374"/>
    <w:sectPr w:rsidR="005C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F5E29"/>
    <w:multiLevelType w:val="multilevel"/>
    <w:tmpl w:val="1C485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9434D"/>
    <w:multiLevelType w:val="multilevel"/>
    <w:tmpl w:val="3964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8036E"/>
    <w:multiLevelType w:val="multilevel"/>
    <w:tmpl w:val="A3BA8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74"/>
    <w:rsid w:val="000F031B"/>
    <w:rsid w:val="0031450A"/>
    <w:rsid w:val="00327C2F"/>
    <w:rsid w:val="00B35E9A"/>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3596"/>
  <w15:chartTrackingRefBased/>
  <w15:docId w15:val="{45ADE2F9-19A1-4ACF-8E64-34C65D5A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374"/>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tionsHSAClientService@highmark.com?subject=Direct%20Access%20to%20Spending%20Accounts%20-%20HSA%20Rela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Triage@highmark.com?subject=Highmark%20Spending%20Account%20Ques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riage@highmark.com?subject=Highmark%20Spending%20Account%20"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SAPInvoice@highmark.com?subject=Highmark%20FSA%20and%20HRA%20Invoice%20Question" TargetMode="External"/><Relationship Id="rId4" Type="http://schemas.openxmlformats.org/officeDocument/2006/relationships/webSettings" Target="webSettings.xml"/><Relationship Id="rId9" Type="http://schemas.openxmlformats.org/officeDocument/2006/relationships/hyperlink" Target="mailto:Spending_Account_Status@highmark.com?subject=FSA%20Enrollment%20Forms%2FSpread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Jurena, Cheranne</dc:creator>
  <cp:keywords/>
  <dc:description/>
  <cp:lastModifiedBy>Jurena, Cheranne</cp:lastModifiedBy>
  <cp:revision>1</cp:revision>
  <dcterms:created xsi:type="dcterms:W3CDTF">2020-08-13T17:13:00Z</dcterms:created>
  <dcterms:modified xsi:type="dcterms:W3CDTF">2020-08-13T17:15:00Z</dcterms:modified>
</cp:coreProperties>
</file>